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2" w:rsidRPr="00AD0CD3" w:rsidRDefault="00F21832" w:rsidP="00AD0C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AD0CD3">
        <w:rPr>
          <w:rFonts w:ascii="Times New Roman" w:hAnsi="Times New Roman"/>
          <w:sz w:val="24"/>
          <w:szCs w:val="24"/>
          <w:lang w:val="en-US"/>
        </w:rPr>
        <w:t xml:space="preserve">Syllabus </w:t>
      </w:r>
    </w:p>
    <w:p w:rsidR="00F21832" w:rsidRPr="00AD0CD3" w:rsidRDefault="00BD2D16" w:rsidP="00AD0C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</w:t>
      </w:r>
      <w:r w:rsidR="00F21832" w:rsidRPr="00AD0CD3">
        <w:rPr>
          <w:rFonts w:ascii="Times New Roman" w:hAnsi="Times New Roman"/>
          <w:sz w:val="24"/>
          <w:szCs w:val="24"/>
          <w:lang w:val="en-US"/>
        </w:rPr>
        <w:t xml:space="preserve"> Foreign Language for </w:t>
      </w:r>
      <w:r w:rsidR="007F7F5F" w:rsidRPr="00AD0CD3">
        <w:rPr>
          <w:rFonts w:ascii="Times New Roman" w:hAnsi="Times New Roman"/>
          <w:sz w:val="24"/>
          <w:szCs w:val="24"/>
          <w:lang w:val="en-US"/>
        </w:rPr>
        <w:t>Professional</w:t>
      </w:r>
      <w:r w:rsidR="00F21832" w:rsidRPr="00AD0CD3">
        <w:rPr>
          <w:rFonts w:ascii="Times New Roman" w:hAnsi="Times New Roman"/>
          <w:sz w:val="24"/>
          <w:szCs w:val="24"/>
          <w:lang w:val="en-US"/>
        </w:rPr>
        <w:t xml:space="preserve"> Communication </w:t>
      </w:r>
    </w:p>
    <w:p w:rsidR="00F21832" w:rsidRPr="00AD0CD3" w:rsidRDefault="00F21832" w:rsidP="00AD0C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3207"/>
        <w:gridCol w:w="6237"/>
      </w:tblGrid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Field name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Detailed content, comments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Name of Faculty</w:t>
            </w:r>
          </w:p>
        </w:tc>
        <w:tc>
          <w:tcPr>
            <w:tcW w:w="6237" w:type="dxa"/>
          </w:tcPr>
          <w:p w:rsidR="00F21832" w:rsidRPr="000C152C" w:rsidRDefault="00B17FF2" w:rsidP="00BD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Faculty of Information Radio Technologies and </w:t>
            </w:r>
            <w:r w:rsidR="00BD2D16">
              <w:rPr>
                <w:rFonts w:ascii="Times New Roman" w:hAnsi="Times New Roman"/>
                <w:sz w:val="24"/>
                <w:szCs w:val="24"/>
                <w:lang w:val="en-GB"/>
              </w:rPr>
              <w:t>Technical Information Security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Higher education degree 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Bachelor of Engineering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Style w:val="alt-edited"/>
                <w:rFonts w:ascii="Times New Roman" w:hAnsi="Times New Roman"/>
                <w:sz w:val="24"/>
                <w:szCs w:val="24"/>
                <w:lang w:val="en-GB"/>
              </w:rPr>
              <w:t xml:space="preserve">Speciality code and title 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051 – ECONOMY, 073 – MANAGEMENT, 113 – APPLIED MATHEMATICS, 121 – SOFTWARE ENGINEERING, 122 – COMPUTER SCIENCES, 123 – COMPUTER ENGINEERING, 124 – SYSTEM ANALYSIS, 125 – CYBERSECURITY, 126 – INFORMATION SYSTEMS AND TECHNOLOGIES, 151 – AUTOMATION AND COMPUTER-INTERGRATED TECHNOLOGIES, 152 – METROLOGY AND INFORMATION-MEASURING TECHNOLOGY, 163 – BIOMEDICAL ENGINEERING, 171 – ELECTRONICS, 172 – TELECOMMUNICATION AND RADIO ENGINEERING, 173 – AVIONICS,186 – PUBLISHING AND PRINTING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Type and title of the </w:t>
            </w:r>
            <w:r w:rsidR="00BD2D16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Educational-Professional Program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Educational-Professional Program (EPP) of a speciality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8B7485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F21832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itle 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Foreign Language for </w:t>
            </w:r>
            <w:r w:rsidR="007F7F5F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Professional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Communication (FLPC)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Number of ECTS credits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Course structure (distribution by type and time) </w:t>
            </w:r>
          </w:p>
        </w:tc>
        <w:tc>
          <w:tcPr>
            <w:tcW w:w="6237" w:type="dxa"/>
          </w:tcPr>
          <w:p w:rsidR="00F21832" w:rsidRPr="00BD2D16" w:rsidRDefault="00F21832" w:rsidP="00BD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 hrs –  30 lessons, 12 hrs – 6 consultations, 52 hrs – </w:t>
            </w:r>
            <w:r w:rsidR="00BD2D16" w:rsidRPr="00BD2D16">
              <w:rPr>
                <w:rFonts w:ascii="Times New Roman" w:hAnsi="Times New Roman"/>
                <w:sz w:val="24"/>
                <w:szCs w:val="24"/>
                <w:lang w:val="en-US"/>
              </w:rPr>
              <w:t>self-study ac</w:t>
            </w:r>
            <w:r w:rsidR="00BD2D16">
              <w:rPr>
                <w:rFonts w:ascii="Times New Roman" w:hAnsi="Times New Roman"/>
                <w:sz w:val="24"/>
                <w:szCs w:val="24"/>
                <w:lang w:val="en-US"/>
              </w:rPr>
              <w:t>tivity. Assessment:</w:t>
            </w:r>
            <w:r w:rsidRPr="000C152C">
              <w:rPr>
                <w:rFonts w:ascii="Times New Roman" w:hAnsi="Times New Roman"/>
                <w:sz w:val="24"/>
                <w:szCs w:val="24"/>
              </w:rPr>
              <w:t xml:space="preserve"> 5,</w:t>
            </w:r>
            <w:r w:rsidR="00BD2D16" w:rsidRPr="00BD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152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D2D16">
              <w:rPr>
                <w:rFonts w:ascii="Times New Roman" w:hAnsi="Times New Roman"/>
                <w:sz w:val="24"/>
                <w:szCs w:val="24"/>
                <w:lang w:val="en-US"/>
              </w:rPr>
              <w:t>semesters</w:t>
            </w:r>
            <w:r w:rsidRPr="000C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C1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tests 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Terms of training </w:t>
            </w:r>
          </w:p>
        </w:tc>
        <w:tc>
          <w:tcPr>
            <w:tcW w:w="623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 w:eastAsia="ar-SA"/>
              </w:rPr>
              <w:t>5</w:t>
            </w:r>
            <w:r w:rsidR="001247D3" w:rsidRPr="000C152C">
              <w:rPr>
                <w:rFonts w:ascii="Times New Roman" w:hAnsi="Times New Roman"/>
                <w:sz w:val="24"/>
                <w:szCs w:val="24"/>
                <w:vertAlign w:val="superscript"/>
                <w:lang w:val="en-GB" w:eastAsia="ar-SA"/>
              </w:rPr>
              <w:t>th</w:t>
            </w:r>
            <w:r w:rsidR="001247D3" w:rsidRPr="000C152C">
              <w:rPr>
                <w:rFonts w:ascii="Times New Roman" w:hAnsi="Times New Roman"/>
                <w:sz w:val="24"/>
                <w:szCs w:val="24"/>
                <w:lang w:val="en-GB" w:eastAsia="ar-SA"/>
              </w:rPr>
              <w:t>–6</w:t>
            </w:r>
            <w:r w:rsidR="001247D3" w:rsidRPr="000C152C">
              <w:rPr>
                <w:rFonts w:ascii="Times New Roman" w:hAnsi="Times New Roman"/>
                <w:sz w:val="24"/>
                <w:szCs w:val="24"/>
                <w:vertAlign w:val="superscript"/>
                <w:lang w:val="en-GB" w:eastAsia="ar-SA"/>
              </w:rPr>
              <w:t>th</w:t>
            </w:r>
            <w:r w:rsidR="001247D3" w:rsidRPr="000C152C">
              <w:rPr>
                <w:rFonts w:ascii="Times New Roman" w:hAnsi="Times New Roman"/>
                <w:sz w:val="24"/>
                <w:szCs w:val="24"/>
                <w:lang w:val="en-GB" w:eastAsia="ar-SA"/>
              </w:rPr>
              <w:t xml:space="preserve"> semesters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247D3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1247D3" w:rsidRPr="000C152C">
              <w:rPr>
                <w:rFonts w:ascii="Times New Roman" w:hAnsi="Times New Roman"/>
                <w:sz w:val="24"/>
                <w:szCs w:val="24"/>
                <w:vertAlign w:val="superscript"/>
                <w:lang w:val="en-GB" w:eastAsia="ar-SA"/>
              </w:rPr>
              <w:t>th</w:t>
            </w:r>
            <w:r w:rsidR="001247D3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year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Prerequisites</w:t>
            </w:r>
          </w:p>
        </w:tc>
        <w:tc>
          <w:tcPr>
            <w:tcW w:w="6237" w:type="dxa"/>
          </w:tcPr>
          <w:p w:rsidR="00591EAA" w:rsidRPr="000C152C" w:rsidRDefault="00591EAA" w:rsidP="00BD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Previous training in the normative academic discipline of </w:t>
            </w:r>
            <w:r w:rsidR="00BD2D16">
              <w:rPr>
                <w:rFonts w:ascii="Times New Roman" w:hAnsi="Times New Roman"/>
                <w:sz w:val="24"/>
                <w:szCs w:val="24"/>
                <w:lang w:val="en-GB"/>
              </w:rPr>
              <w:t>Foreign Language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21832" w:rsidRPr="00AD0CD3" w:rsidTr="00207089">
        <w:trPr>
          <w:trHeight w:val="70"/>
        </w:trPr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Abstract of the course</w:t>
            </w:r>
          </w:p>
        </w:tc>
        <w:tc>
          <w:tcPr>
            <w:tcW w:w="6237" w:type="dxa"/>
          </w:tcPr>
          <w:p w:rsidR="00F21832" w:rsidRPr="000C152C" w:rsidRDefault="00591EAA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Training in the selective course is based on a communicative approach that develops the skills of listening, scanning and skimming,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practices 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dialogues and monologues on general and professional topics, contains topics and tasks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level B2 of CEFRL 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to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acquire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lexical and grammar knowledge,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comprises 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tasks to master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presentation and report 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skills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The content of the course is organised in such a way that every lesson contains language practice and develops language skills that are logically united in thematic units and make up a subject matter module for a semester.</w:t>
            </w:r>
            <w:r w:rsidR="006F725A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Every subject matter module comprises video presentations to watch, texts to </w:t>
            </w:r>
            <w:r w:rsidR="007F7F5F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develop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reading skills, </w:t>
            </w:r>
            <w:r w:rsidR="007F7F5F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topics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for presentation and discussion, grammar materials and lexical tasks to gain level B2 of CEFRL, writing tasks, a test and tasks for self-directed assessment. The number of thematic units in a subject matter module depends on the distribution </w:t>
            </w:r>
            <w:r w:rsidR="005C4B4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and volume </w:t>
            </w:r>
            <w:r w:rsidR="001F67FB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of classroom and self-study hours.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Competences, knowledge, skills and understanding the higher education learner acquires during training</w:t>
            </w:r>
          </w:p>
        </w:tc>
        <w:tc>
          <w:tcPr>
            <w:tcW w:w="6237" w:type="dxa"/>
          </w:tcPr>
          <w:p w:rsidR="00F21832" w:rsidRPr="000C152C" w:rsidRDefault="00BD2D16" w:rsidP="00BD2D1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Training results through the program are as follows: to master a foreign language in order to communicate in everyday life as well as in professional and scientific fields. </w:t>
            </w:r>
            <w:r w:rsidR="00957009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learners improve communicative speech competences </w:t>
            </w:r>
            <w:r w:rsidR="00957009" w:rsidRPr="000C152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t xml:space="preserve">(linguistic, sociolinguistic and pragmatic), which enable the learners to </w:t>
            </w:r>
            <w:r w:rsidR="00957009" w:rsidRPr="000C152C">
              <w:rPr>
                <w:rFonts w:ascii="Times New Roman" w:hAnsi="Times New Roman"/>
                <w:snapToGrid w:val="0"/>
                <w:sz w:val="24"/>
                <w:szCs w:val="24"/>
                <w:lang w:val="en-GB"/>
              </w:rPr>
              <w:lastRenderedPageBreak/>
              <w:t xml:space="preserve">act, using special linguistic means when speaking a foreign language in a professional environment. They gain strategic, discourse and media competences in the framework of communicative speech competence. </w:t>
            </w:r>
            <w:r w:rsidR="00F21832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Outcomes </w:t>
            </w:r>
          </w:p>
        </w:tc>
        <w:tc>
          <w:tcPr>
            <w:tcW w:w="6237" w:type="dxa"/>
          </w:tcPr>
          <w:p w:rsidR="00F21832" w:rsidRPr="000C152C" w:rsidRDefault="00957009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knowledge gained enables the higher education learner to discuss profession-oriented topics, </w:t>
            </w:r>
            <w:r w:rsidR="001213FF" w:rsidRPr="000C152C">
              <w:rPr>
                <w:rFonts w:ascii="Times New Roman" w:hAnsi="Times New Roman"/>
                <w:sz w:val="24"/>
                <w:szCs w:val="24"/>
                <w:lang w:val="en-GB"/>
              </w:rPr>
              <w:t>develop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the skills of the practical use of strategies and abilities in s professional field. The learners master the methods of effective processing of information from foreign sources. 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Task-based assessment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03AFD" w:rsidRPr="000C152C" w:rsidRDefault="00603AFD" w:rsidP="00A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"/>
                <w:tab w:val="left" w:pos="10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1. To get a mark for four basic language skills and two aspects of lexical and grammar skills on the basis of each thematic for a semester. Reading, listening, speaking, writing, lexis and grammar contain 13 points each: 6x13=78 – maximum or 6x8=48 – minimum.</w:t>
            </w:r>
          </w:p>
          <w:p w:rsidR="00603AFD" w:rsidRPr="000C152C" w:rsidRDefault="00603AFD" w:rsidP="00A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8"/>
                <w:tab w:val="left" w:pos="10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2. To pass a semester test: 12–22 points.</w:t>
            </w:r>
          </w:p>
          <w:p w:rsidR="00603AFD" w:rsidRPr="000C152C" w:rsidRDefault="00603AFD" w:rsidP="00AD0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8"/>
                <w:tab w:val="left" w:pos="102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3 To get a general mark for the semester subject matter module – 60 points minimum and pass a semester test.</w:t>
            </w:r>
          </w:p>
          <w:p w:rsidR="00603AFD" w:rsidRPr="000C152C" w:rsidRDefault="00603AFD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Semester mark </w:t>
            </w:r>
            <w:r w:rsidRPr="000C152C">
              <w:rPr>
                <w:rFonts w:ascii="Times New Roman" w:hAnsi="Times New Roman"/>
                <w:position w:val="-12"/>
                <w:sz w:val="24"/>
                <w:szCs w:val="24"/>
                <w:lang w:val="en-GB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9.5pt" o:ole="">
                  <v:imagedata r:id="rId5" o:title=""/>
                </v:shape>
                <o:OLEObject Type="Embed" ProgID="Equation.DSMT4" ShapeID="_x0000_i1025" DrawAspect="Content" ObjectID="_1696523444" r:id="rId6"/>
              </w:objec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((8-13) х 6) – an average mark for thematic units + test mark (12-22) = (60-100) points. </w:t>
            </w:r>
          </w:p>
          <w:p w:rsidR="00F21832" w:rsidRPr="000C152C" w:rsidRDefault="00603AFD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Examination mark </w:t>
            </w:r>
            <w:r w:rsidRPr="000C152C">
              <w:rPr>
                <w:rFonts w:ascii="Times New Roman" w:hAnsi="Times New Roman"/>
                <w:position w:val="-12"/>
                <w:sz w:val="24"/>
                <w:szCs w:val="24"/>
                <w:lang w:val="en-GB"/>
              </w:rPr>
              <w:object w:dxaOrig="420" w:dyaOrig="360">
                <v:shape id="_x0000_i1026" type="#_x0000_t75" style="width:22.5pt;height:19.5pt" o:ole="">
                  <v:imagedata r:id="rId7" o:title=""/>
                </v:shape>
                <o:OLEObject Type="Embed" ProgID="Equation.DSMT4" ShapeID="_x0000_i1026" DrawAspect="Content" ObjectID="_1696523445" r:id="rId8"/>
              </w:objec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=</w:t>
            </w:r>
            <w:r w:rsidR="007F7F5F"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(60-100) points. 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AD0CD3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lang w:val="en-GB"/>
              </w:rPr>
              <w:t>Educational process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quality </w:t>
            </w:r>
          </w:p>
        </w:tc>
        <w:tc>
          <w:tcPr>
            <w:tcW w:w="6237" w:type="dxa"/>
            <w:shd w:val="clear" w:color="auto" w:fill="auto"/>
          </w:tcPr>
          <w:p w:rsidR="00F21832" w:rsidRPr="00AD0CD3" w:rsidRDefault="00B43CEF" w:rsidP="00BD2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Observe the principles of academic virtue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hyperlink r:id="rId9" w:history="1"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http://lib.nure.ua/plagiat</w:t>
              </w:r>
            </w:hyperlink>
            <w:r w:rsidRPr="00AD0CD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The syllabus is updated in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D2D1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Methodological support</w:t>
            </w:r>
          </w:p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F21832" w:rsidRPr="00AD0CD3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Комплекс навчально-методичного забезпечення "Іноземна мова для професійної комунікації" навчальної дисципліни за вибором студентів" [Електронний ресурс] / ХНУРЕ ; розроб. 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>Валійова Т.Б., Конькова Т.М, Кринська Н.В.</w:t>
            </w:r>
            <w:r w:rsidRPr="00AD0C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М. П. Сукнов. – Харків, 2019. – 54 с .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http://catalogue.nure.ua/knmz/?subdivision=23&amp;level=0&amp;discipline=4607&amp;query=undefined</w:t>
              </w:r>
            </w:hyperlink>
          </w:p>
          <w:p w:rsidR="00F21832" w:rsidRPr="00AD0CD3" w:rsidRDefault="00F21832" w:rsidP="00AD0CD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Workplace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Communication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AD0C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Практичний посібник з дисципліни «Іноземна мова за професійним спрямуванням» для студентів бакалаврського рівня» [Електронний документ] / Укладачі: Архипова В.О., Валійова Т.Б., Конькова Т.М, Кринська Н.В.</w:t>
            </w:r>
          </w:p>
        </w:tc>
      </w:tr>
      <w:tr w:rsidR="00F21832" w:rsidRPr="00AD0CD3" w:rsidTr="00207089">
        <w:tc>
          <w:tcPr>
            <w:tcW w:w="445" w:type="dxa"/>
          </w:tcPr>
          <w:p w:rsidR="00F21832" w:rsidRPr="00AD0CD3" w:rsidRDefault="00F21832" w:rsidP="00AD0CD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C152C">
              <w:rPr>
                <w:rFonts w:ascii="Times New Roman" w:hAnsi="Times New Roman"/>
                <w:sz w:val="24"/>
                <w:szCs w:val="24"/>
                <w:lang w:val="en-GB"/>
              </w:rPr>
              <w:t>Developers of the Syllabus</w:t>
            </w:r>
          </w:p>
          <w:p w:rsidR="00F21832" w:rsidRPr="000C152C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:rsidR="00F21832" w:rsidRPr="00AD0CD3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Associate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DCA">
              <w:rPr>
                <w:rFonts w:ascii="Times New Roman" w:hAnsi="Times New Roman"/>
                <w:sz w:val="24"/>
                <w:szCs w:val="24"/>
                <w:lang w:val="en-US"/>
              </w:rPr>
              <w:t>Lebedieva K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>.</w:t>
            </w:r>
            <w:r w:rsidR="00160DCA">
              <w:rPr>
                <w:rFonts w:ascii="Times New Roman" w:hAnsi="Times New Roman"/>
                <w:sz w:val="24"/>
                <w:szCs w:val="24"/>
                <w:lang w:val="en-US"/>
              </w:rPr>
              <w:t>O.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="009A097F" w:rsidRPr="00F70D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kateryna.lebedeva</w:t>
              </w:r>
              <w:r w:rsidR="009A097F" w:rsidRPr="00F70D0F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A097F" w:rsidRPr="00F70D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nure</w:t>
              </w:r>
              <w:r w:rsidR="009A097F" w:rsidRPr="00F70D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A097F" w:rsidRPr="00F70D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F21832" w:rsidRPr="00AD0CD3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Associate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Professor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Storchak O. G. </w:t>
            </w:r>
            <w:hyperlink r:id="rId12" w:history="1"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oleh</w:t>
              </w:r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storchak</w:t>
              </w:r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nure</w:t>
              </w:r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832" w:rsidRPr="00AD0CD3" w:rsidRDefault="00F21832" w:rsidP="00AD0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The Head of the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Foreign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Languages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Department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CD3">
              <w:rPr>
                <w:rFonts w:ascii="Times New Roman" w:hAnsi="Times New Roman"/>
                <w:sz w:val="24"/>
                <w:szCs w:val="24"/>
                <w:lang w:val="en-US"/>
              </w:rPr>
              <w:t>Suknov M. P.</w:t>
            </w:r>
            <w:r w:rsidRPr="00AD0C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AD0CD3">
                <w:rPr>
                  <w:rStyle w:val="a3"/>
                  <w:rFonts w:ascii="Times New Roman" w:hAnsi="Times New Roman"/>
                  <w:sz w:val="24"/>
                  <w:szCs w:val="24"/>
                </w:rPr>
                <w:t>mykhailo.suknov@nure.ua</w:t>
              </w:r>
            </w:hyperlink>
          </w:p>
        </w:tc>
      </w:tr>
    </w:tbl>
    <w:p w:rsidR="00F21832" w:rsidRPr="00AD0CD3" w:rsidRDefault="00F21832" w:rsidP="00AD0C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4CDB" w:rsidRPr="00AD0CD3" w:rsidRDefault="00164CDB" w:rsidP="00AD0CD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164CDB" w:rsidRPr="00AD0CD3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49C"/>
    <w:multiLevelType w:val="hybridMultilevel"/>
    <w:tmpl w:val="BA6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6FB"/>
    <w:multiLevelType w:val="hybridMultilevel"/>
    <w:tmpl w:val="5A22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1832"/>
    <w:rsid w:val="000C152C"/>
    <w:rsid w:val="001213FF"/>
    <w:rsid w:val="001247D3"/>
    <w:rsid w:val="00160DCA"/>
    <w:rsid w:val="001628D5"/>
    <w:rsid w:val="00164CDB"/>
    <w:rsid w:val="001F67FB"/>
    <w:rsid w:val="00207089"/>
    <w:rsid w:val="003F7514"/>
    <w:rsid w:val="00591EAA"/>
    <w:rsid w:val="005C4B4B"/>
    <w:rsid w:val="00603AFD"/>
    <w:rsid w:val="006E3028"/>
    <w:rsid w:val="006F725A"/>
    <w:rsid w:val="007211A6"/>
    <w:rsid w:val="007F7F5F"/>
    <w:rsid w:val="008B7485"/>
    <w:rsid w:val="00957009"/>
    <w:rsid w:val="009A097F"/>
    <w:rsid w:val="00A20C6E"/>
    <w:rsid w:val="00A7345E"/>
    <w:rsid w:val="00AC7CDA"/>
    <w:rsid w:val="00AD0CD3"/>
    <w:rsid w:val="00B17FF2"/>
    <w:rsid w:val="00B43CEF"/>
    <w:rsid w:val="00BD2D16"/>
    <w:rsid w:val="00C72CAD"/>
    <w:rsid w:val="00CF3206"/>
    <w:rsid w:val="00F21832"/>
    <w:rsid w:val="00FD35CC"/>
    <w:rsid w:val="00FE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2"/>
    <w:pPr>
      <w:spacing w:after="160" w:line="259" w:lineRule="auto"/>
      <w:jc w:val="left"/>
    </w:pPr>
    <w:rPr>
      <w:rFonts w:ascii="Calibri" w:eastAsia="Times New Roman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1832"/>
    <w:pPr>
      <w:ind w:left="720"/>
      <w:contextualSpacing/>
    </w:pPr>
  </w:style>
  <w:style w:type="character" w:styleId="a3">
    <w:name w:val="Hyperlink"/>
    <w:rsid w:val="00F218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832"/>
    <w:pPr>
      <w:spacing w:after="200" w:line="276" w:lineRule="auto"/>
      <w:ind w:left="720"/>
      <w:contextualSpacing/>
    </w:pPr>
    <w:rPr>
      <w:rFonts w:eastAsia="Calibri"/>
      <w:lang w:val="ru-RU"/>
    </w:rPr>
  </w:style>
  <w:style w:type="character" w:customStyle="1" w:styleId="alt-edited">
    <w:name w:val="alt-edited"/>
    <w:rsid w:val="00F21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mykhailo.suknov@nure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oleh.storchak@nur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kateryna.lebedeva@nure.ua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catalogue.nure.ua/knmz/?subdivision=23&amp;level=0&amp;discipline=4607&amp;query=undefin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nure.ua/plagi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Kate</cp:lastModifiedBy>
  <cp:revision>6</cp:revision>
  <dcterms:created xsi:type="dcterms:W3CDTF">2021-02-16T11:57:00Z</dcterms:created>
  <dcterms:modified xsi:type="dcterms:W3CDTF">2021-10-23T16:44:00Z</dcterms:modified>
</cp:coreProperties>
</file>